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FD8" w:rsidRDefault="00D13A53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PLANO DE ENSINO</w:t>
      </w:r>
    </w:p>
    <w:p w:rsidR="00FE5FD8" w:rsidRDefault="00FE5FD8">
      <w:pPr>
        <w:jc w:val="center"/>
      </w:pPr>
    </w:p>
    <w:p w:rsidR="005C423C" w:rsidRDefault="00D13A53">
      <w:pPr>
        <w:spacing w:line="360" w:lineRule="auto"/>
        <w:jc w:val="both"/>
      </w:pPr>
      <w:r>
        <w:t xml:space="preserve">DISCIPLINA: </w:t>
      </w:r>
      <w:r w:rsidR="005C423C" w:rsidRPr="005C423C">
        <w:rPr>
          <w:b/>
        </w:rPr>
        <w:t>Marketing em alimentos e nutrição</w:t>
      </w:r>
      <w:r>
        <w:t xml:space="preserve">     </w:t>
      </w:r>
    </w:p>
    <w:p w:rsidR="005C423C" w:rsidRDefault="00D13A53" w:rsidP="005C423C">
      <w:pPr>
        <w:spacing w:line="360" w:lineRule="auto"/>
        <w:jc w:val="both"/>
      </w:pPr>
      <w:r>
        <w:t xml:space="preserve">CÓDIGO: </w:t>
      </w:r>
      <w:r w:rsidR="005C423C">
        <w:rPr>
          <w:b/>
        </w:rPr>
        <w:t>CHN0610</w:t>
      </w:r>
      <w:r>
        <w:rPr>
          <w:b/>
        </w:rPr>
        <w:t xml:space="preserve"> </w:t>
      </w:r>
      <w:r>
        <w:t xml:space="preserve">       PERÍODO LETIVO: </w:t>
      </w:r>
      <w:r>
        <w:rPr>
          <w:b/>
        </w:rPr>
        <w:t>2020.3</w:t>
      </w:r>
      <w:r w:rsidR="005C423C">
        <w:t xml:space="preserve">      </w:t>
      </w:r>
    </w:p>
    <w:p w:rsidR="00FE5FD8" w:rsidRPr="00EE310F" w:rsidRDefault="00D13A53" w:rsidP="00EE310F">
      <w:pPr>
        <w:spacing w:line="360" w:lineRule="auto"/>
        <w:jc w:val="both"/>
        <w:rPr>
          <w:b/>
        </w:rPr>
      </w:pPr>
      <w:r>
        <w:t xml:space="preserve">BLOCO DE OFERTA: </w:t>
      </w:r>
      <w:r>
        <w:rPr>
          <w:b/>
        </w:rPr>
        <w:t>V</w:t>
      </w:r>
      <w:r w:rsidR="005C423C">
        <w:rPr>
          <w:b/>
        </w:rPr>
        <w:t>II</w:t>
      </w:r>
      <w:r>
        <w:t xml:space="preserve">       CARGA HORÁRIA: </w:t>
      </w:r>
      <w:r>
        <w:rPr>
          <w:b/>
        </w:rPr>
        <w:t xml:space="preserve">60h                      </w:t>
      </w:r>
      <w:r>
        <w:t xml:space="preserve">CRÉDITOS: </w:t>
      </w:r>
      <w:r w:rsidR="005C423C">
        <w:rPr>
          <w:b/>
        </w:rPr>
        <w:t>(3.1</w:t>
      </w:r>
      <w:r>
        <w:rPr>
          <w:b/>
        </w:rPr>
        <w:t xml:space="preserve">.0) </w:t>
      </w:r>
      <w:r>
        <w:t xml:space="preserve">DOCENTE RESPONSÁVEL: </w:t>
      </w:r>
      <w:r w:rsidR="005C423C">
        <w:rPr>
          <w:b/>
        </w:rPr>
        <w:t xml:space="preserve">Prof. </w:t>
      </w:r>
      <w:proofErr w:type="spellStart"/>
      <w:proofErr w:type="gramStart"/>
      <w:r w:rsidR="005C423C">
        <w:rPr>
          <w:b/>
        </w:rPr>
        <w:t>MSc</w:t>
      </w:r>
      <w:proofErr w:type="spellEnd"/>
      <w:proofErr w:type="gramEnd"/>
      <w:r w:rsidR="005C423C">
        <w:rPr>
          <w:b/>
        </w:rPr>
        <w:t xml:space="preserve">. </w:t>
      </w:r>
      <w:proofErr w:type="spellStart"/>
      <w:r w:rsidR="005C423C">
        <w:rPr>
          <w:b/>
        </w:rPr>
        <w:t>Maiara</w:t>
      </w:r>
      <w:proofErr w:type="spellEnd"/>
      <w:r w:rsidR="005C423C">
        <w:rPr>
          <w:b/>
        </w:rPr>
        <w:t xml:space="preserve"> </w:t>
      </w:r>
      <w:proofErr w:type="spellStart"/>
      <w:r w:rsidR="005C423C">
        <w:rPr>
          <w:b/>
        </w:rPr>
        <w:t>Jaianne</w:t>
      </w:r>
      <w:proofErr w:type="spellEnd"/>
      <w:r w:rsidR="005C423C">
        <w:rPr>
          <w:b/>
        </w:rPr>
        <w:t xml:space="preserve"> Be</w:t>
      </w:r>
      <w:r w:rsidR="00697F6F">
        <w:rPr>
          <w:b/>
        </w:rPr>
        <w:t>zerra Leal Rios/</w:t>
      </w:r>
      <w:r w:rsidR="005C423C">
        <w:rPr>
          <w:b/>
        </w:rPr>
        <w:t>SIAPE 1119658</w:t>
      </w:r>
    </w:p>
    <w:p w:rsidR="00FE5FD8" w:rsidRDefault="00FE5FD8">
      <w:pPr>
        <w:jc w:val="both"/>
      </w:pPr>
    </w:p>
    <w:tbl>
      <w:tblPr>
        <w:tblStyle w:val="a"/>
        <w:tblW w:w="95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70"/>
      </w:tblGrid>
      <w:tr w:rsidR="00FE5FD8">
        <w:tc>
          <w:tcPr>
            <w:tcW w:w="9570" w:type="dxa"/>
            <w:shd w:val="clear" w:color="auto" w:fill="D9D9D9"/>
          </w:tcPr>
          <w:p w:rsidR="00FE5FD8" w:rsidRDefault="00D13A53">
            <w:r>
              <w:t>I – EMENTA</w:t>
            </w:r>
          </w:p>
        </w:tc>
      </w:tr>
      <w:tr w:rsidR="00FE5FD8">
        <w:tc>
          <w:tcPr>
            <w:tcW w:w="9570" w:type="dxa"/>
          </w:tcPr>
          <w:p w:rsidR="00FE5FD8" w:rsidRDefault="00697F6F" w:rsidP="00914D7E">
            <w:pPr>
              <w:jc w:val="both"/>
            </w:pPr>
            <w:r w:rsidRPr="0056765C">
              <w:t>Importância, definição e caracterização de novos produtos. Interação do consumidor com novos produtos. Caracterização do Mercado. Mercado de trabalho na área de alimentação e nutrição. Estratégias de Marketing. Marketing e Nutrição: impacto das recomendações nutricionais no desenvolvimento de novos produtos, hábitos alimentares. Nutrição empregada no Marketing. Preparação do profissional para o mercado publicitário de alimentos. Meios de comunicação mais utilizados pelo marketing. Marketing em alimentos infantis. Legislação do marketing de produtos alimentícios</w:t>
            </w:r>
            <w:r>
              <w:t>.</w:t>
            </w:r>
          </w:p>
        </w:tc>
      </w:tr>
    </w:tbl>
    <w:p w:rsidR="00FE5FD8" w:rsidRDefault="00FE5FD8">
      <w:pPr>
        <w:jc w:val="both"/>
      </w:pPr>
    </w:p>
    <w:tbl>
      <w:tblPr>
        <w:tblStyle w:val="a0"/>
        <w:tblW w:w="95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70"/>
      </w:tblGrid>
      <w:tr w:rsidR="00FE5FD8">
        <w:tc>
          <w:tcPr>
            <w:tcW w:w="9570" w:type="dxa"/>
            <w:shd w:val="clear" w:color="auto" w:fill="D9D9D9"/>
          </w:tcPr>
          <w:p w:rsidR="00FE5FD8" w:rsidRDefault="00D13A53">
            <w:r>
              <w:t>II – OBJETIVO GERAL</w:t>
            </w:r>
          </w:p>
        </w:tc>
      </w:tr>
      <w:tr w:rsidR="00FE5FD8">
        <w:tc>
          <w:tcPr>
            <w:tcW w:w="9570" w:type="dxa"/>
          </w:tcPr>
          <w:p w:rsidR="00FE5FD8" w:rsidRDefault="00607671" w:rsidP="00607671">
            <w:pPr>
              <w:ind w:firstLine="360"/>
              <w:jc w:val="both"/>
            </w:pPr>
            <w:r w:rsidRPr="0094054D">
              <w:t xml:space="preserve">Capacitar </w:t>
            </w:r>
            <w:r>
              <w:t>o aluno a aliar os conhecimentos de nutrição aos conhecimentos sobre marketing a fim de gerar vantagem competitiva ao futuro profissional de nutrição.</w:t>
            </w:r>
          </w:p>
        </w:tc>
      </w:tr>
    </w:tbl>
    <w:p w:rsidR="00FE5FD8" w:rsidRDefault="00FE5FD8">
      <w:pPr>
        <w:jc w:val="both"/>
      </w:pPr>
    </w:p>
    <w:tbl>
      <w:tblPr>
        <w:tblStyle w:val="a1"/>
        <w:tblW w:w="95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70"/>
      </w:tblGrid>
      <w:tr w:rsidR="00FE5FD8">
        <w:tc>
          <w:tcPr>
            <w:tcW w:w="9570" w:type="dxa"/>
            <w:shd w:val="clear" w:color="auto" w:fill="D9D9D9"/>
          </w:tcPr>
          <w:p w:rsidR="00FE5FD8" w:rsidRDefault="00D13A53">
            <w:r>
              <w:t>III – OBJETIVOS ESPECÍFICOS</w:t>
            </w:r>
          </w:p>
        </w:tc>
      </w:tr>
      <w:tr w:rsidR="00FE5FD8">
        <w:tc>
          <w:tcPr>
            <w:tcW w:w="9570" w:type="dxa"/>
          </w:tcPr>
          <w:p w:rsidR="00FE5FD8" w:rsidRDefault="00FE5FD8" w:rsidP="00914D7E">
            <w:pPr>
              <w:jc w:val="both"/>
            </w:pPr>
          </w:p>
          <w:p w:rsidR="006F7527" w:rsidRPr="006F7527" w:rsidRDefault="006F7527" w:rsidP="006F7527">
            <w:pPr>
              <w:pStyle w:val="PargrafodaLista"/>
              <w:numPr>
                <w:ilvl w:val="0"/>
                <w:numId w:val="2"/>
              </w:numPr>
              <w:jc w:val="both"/>
              <w:rPr>
                <w:bCs/>
              </w:rPr>
            </w:pPr>
            <w:r w:rsidRPr="006F7527">
              <w:rPr>
                <w:bCs/>
              </w:rPr>
              <w:t>Definir marketing.</w:t>
            </w:r>
          </w:p>
          <w:p w:rsidR="006F7527" w:rsidRPr="00134A8A" w:rsidRDefault="006F7527" w:rsidP="006F7527">
            <w:pPr>
              <w:numPr>
                <w:ilvl w:val="0"/>
                <w:numId w:val="2"/>
              </w:numPr>
              <w:jc w:val="both"/>
              <w:rPr>
                <w:bCs/>
              </w:rPr>
            </w:pPr>
            <w:r>
              <w:rPr>
                <w:bCs/>
              </w:rPr>
              <w:t>Compreender a estrutura mercadológica utilizando</w:t>
            </w:r>
            <w:r w:rsidRPr="00134A8A">
              <w:rPr>
                <w:bCs/>
              </w:rPr>
              <w:t xml:space="preserve"> </w:t>
            </w:r>
            <w:r>
              <w:rPr>
                <w:bCs/>
              </w:rPr>
              <w:t>o</w:t>
            </w:r>
            <w:r w:rsidRPr="00134A8A">
              <w:rPr>
                <w:bCs/>
              </w:rPr>
              <w:t xml:space="preserve"> marketing em aspectos de posicionamento de marca e segmentação de mercados. </w:t>
            </w:r>
          </w:p>
          <w:p w:rsidR="006F7527" w:rsidRPr="00134A8A" w:rsidRDefault="006F7527" w:rsidP="006F7527">
            <w:pPr>
              <w:numPr>
                <w:ilvl w:val="0"/>
                <w:numId w:val="2"/>
              </w:numPr>
              <w:jc w:val="both"/>
              <w:rPr>
                <w:bCs/>
              </w:rPr>
            </w:pPr>
            <w:r>
              <w:rPr>
                <w:bCs/>
              </w:rPr>
              <w:t xml:space="preserve"> Apresentar os desafios do marketing aplicado a Nutrição para</w:t>
            </w:r>
            <w:r w:rsidRPr="00134A8A">
              <w:rPr>
                <w:bCs/>
              </w:rPr>
              <w:t xml:space="preserve"> captaçã</w:t>
            </w:r>
            <w:r>
              <w:rPr>
                <w:bCs/>
              </w:rPr>
              <w:t>o</w:t>
            </w:r>
            <w:r w:rsidRPr="00134A8A">
              <w:rPr>
                <w:bCs/>
              </w:rPr>
              <w:t xml:space="preserve"> e fidelização de pacientes.</w:t>
            </w:r>
          </w:p>
          <w:p w:rsidR="00FE5FD8" w:rsidRDefault="006F7527" w:rsidP="006F7527">
            <w:pPr>
              <w:pStyle w:val="PargrafodaLista"/>
              <w:numPr>
                <w:ilvl w:val="0"/>
                <w:numId w:val="2"/>
              </w:numPr>
              <w:jc w:val="both"/>
            </w:pPr>
            <w:r w:rsidRPr="006F7527">
              <w:rPr>
                <w:bCs/>
              </w:rPr>
              <w:t xml:space="preserve"> Mensurar a gestão do cliente e as medidas de desempenho.</w:t>
            </w:r>
          </w:p>
        </w:tc>
      </w:tr>
    </w:tbl>
    <w:p w:rsidR="00FE5FD8" w:rsidRDefault="00FE5FD8">
      <w:pPr>
        <w:jc w:val="both"/>
      </w:pPr>
    </w:p>
    <w:tbl>
      <w:tblPr>
        <w:tblStyle w:val="a2"/>
        <w:tblW w:w="95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70"/>
      </w:tblGrid>
      <w:tr w:rsidR="00FE5FD8">
        <w:tc>
          <w:tcPr>
            <w:tcW w:w="9570" w:type="dxa"/>
            <w:shd w:val="clear" w:color="auto" w:fill="D9D9D9"/>
          </w:tcPr>
          <w:p w:rsidR="00FE5FD8" w:rsidRDefault="00D13A53">
            <w:pPr>
              <w:jc w:val="both"/>
            </w:pPr>
            <w:r>
              <w:t>IV – CONTEÚDO PROGRAMÁTICO</w:t>
            </w:r>
          </w:p>
        </w:tc>
      </w:tr>
      <w:tr w:rsidR="00FE5FD8">
        <w:trPr>
          <w:trHeight w:val="934"/>
        </w:trPr>
        <w:tc>
          <w:tcPr>
            <w:tcW w:w="9570" w:type="dxa"/>
          </w:tcPr>
          <w:p w:rsidR="00FE5FD8" w:rsidRDefault="00FE5FD8">
            <w:pPr>
              <w:jc w:val="both"/>
            </w:pPr>
          </w:p>
          <w:p w:rsidR="00813743" w:rsidRDefault="00813743" w:rsidP="00813743">
            <w:pPr>
              <w:rPr>
                <w:b/>
              </w:rPr>
            </w:pPr>
            <w:r w:rsidRPr="00852B14">
              <w:rPr>
                <w:b/>
              </w:rPr>
              <w:t xml:space="preserve">UNIDADE I </w:t>
            </w:r>
          </w:p>
          <w:p w:rsidR="00813743" w:rsidRPr="004C13DE" w:rsidRDefault="00813743" w:rsidP="00813743">
            <w:pPr>
              <w:rPr>
                <w:sz w:val="22"/>
                <w:szCs w:val="22"/>
              </w:rPr>
            </w:pPr>
            <w:r w:rsidRPr="004C13DE">
              <w:rPr>
                <w:sz w:val="22"/>
                <w:szCs w:val="22"/>
              </w:rPr>
              <w:t>Definição</w:t>
            </w:r>
            <w:r>
              <w:rPr>
                <w:sz w:val="22"/>
                <w:szCs w:val="22"/>
              </w:rPr>
              <w:t xml:space="preserve"> e histórico</w:t>
            </w:r>
            <w:r w:rsidRPr="004C13DE">
              <w:rPr>
                <w:sz w:val="22"/>
                <w:szCs w:val="22"/>
              </w:rPr>
              <w:t xml:space="preserve"> de marketing</w:t>
            </w:r>
          </w:p>
          <w:p w:rsidR="00813743" w:rsidRPr="004C13DE" w:rsidRDefault="00813743" w:rsidP="00813743">
            <w:pPr>
              <w:rPr>
                <w:sz w:val="22"/>
                <w:szCs w:val="22"/>
              </w:rPr>
            </w:pPr>
            <w:r w:rsidRPr="004C13DE">
              <w:rPr>
                <w:sz w:val="22"/>
                <w:szCs w:val="22"/>
              </w:rPr>
              <w:t>Mercado consumidor e comportamento de compra</w:t>
            </w:r>
          </w:p>
          <w:p w:rsidR="00813743" w:rsidRPr="004C13DE" w:rsidRDefault="00813743" w:rsidP="00813743">
            <w:pPr>
              <w:rPr>
                <w:sz w:val="22"/>
                <w:szCs w:val="22"/>
              </w:rPr>
            </w:pPr>
            <w:r w:rsidRPr="004C13DE">
              <w:rPr>
                <w:sz w:val="22"/>
                <w:szCs w:val="22"/>
              </w:rPr>
              <w:t>A pesquisa de mercado</w:t>
            </w:r>
          </w:p>
          <w:p w:rsidR="00813743" w:rsidRDefault="00813743" w:rsidP="00813743">
            <w:pPr>
              <w:rPr>
                <w:sz w:val="22"/>
                <w:szCs w:val="22"/>
              </w:rPr>
            </w:pPr>
            <w:r w:rsidRPr="004C13DE">
              <w:rPr>
                <w:sz w:val="22"/>
                <w:szCs w:val="22"/>
              </w:rPr>
              <w:t>O poder das marcas</w:t>
            </w:r>
          </w:p>
          <w:p w:rsidR="00813743" w:rsidRPr="004C13DE" w:rsidRDefault="00813743" w:rsidP="008137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 processo de desenvolvimento de um novo produto/serviço</w:t>
            </w:r>
          </w:p>
          <w:p w:rsidR="00813743" w:rsidRPr="00D932DF" w:rsidRDefault="00813743" w:rsidP="00813743">
            <w:pPr>
              <w:rPr>
                <w:b/>
              </w:rPr>
            </w:pPr>
          </w:p>
          <w:p w:rsidR="00813743" w:rsidRDefault="00813743" w:rsidP="00813743">
            <w:pPr>
              <w:rPr>
                <w:b/>
              </w:rPr>
            </w:pPr>
            <w:r w:rsidRPr="00852B14">
              <w:rPr>
                <w:b/>
              </w:rPr>
              <w:t>UNIDADE II</w:t>
            </w:r>
          </w:p>
          <w:p w:rsidR="00813743" w:rsidRDefault="00813743" w:rsidP="00813743">
            <w:pPr>
              <w:tabs>
                <w:tab w:val="left" w:pos="708"/>
                <w:tab w:val="left" w:pos="1164"/>
              </w:tabs>
              <w:rPr>
                <w:sz w:val="22"/>
                <w:szCs w:val="22"/>
              </w:rPr>
            </w:pPr>
            <w:r w:rsidRPr="00761F53">
              <w:rPr>
                <w:sz w:val="22"/>
                <w:szCs w:val="22"/>
              </w:rPr>
              <w:t>O marketing nutricional</w:t>
            </w:r>
          </w:p>
          <w:p w:rsidR="00CA631E" w:rsidRDefault="00CA631E" w:rsidP="00813743">
            <w:pPr>
              <w:tabs>
                <w:tab w:val="left" w:pos="708"/>
                <w:tab w:val="left" w:pos="116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Legislação do marketing em produtos alimentícios – rotulagem</w:t>
            </w:r>
          </w:p>
          <w:p w:rsidR="00813743" w:rsidRDefault="00914D7E" w:rsidP="00813743">
            <w:pPr>
              <w:tabs>
                <w:tab w:val="left" w:pos="708"/>
                <w:tab w:val="left" w:pos="116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Marketing em alimentos infantil</w:t>
            </w:r>
          </w:p>
          <w:p w:rsidR="00914D7E" w:rsidRPr="00761F53" w:rsidRDefault="00914D7E" w:rsidP="00813743">
            <w:pPr>
              <w:tabs>
                <w:tab w:val="left" w:pos="708"/>
                <w:tab w:val="left" w:pos="1164"/>
              </w:tabs>
              <w:rPr>
                <w:sz w:val="22"/>
                <w:szCs w:val="22"/>
              </w:rPr>
            </w:pPr>
          </w:p>
          <w:p w:rsidR="00813743" w:rsidRPr="00813743" w:rsidRDefault="00813743" w:rsidP="00813743">
            <w:pPr>
              <w:tabs>
                <w:tab w:val="left" w:pos="708"/>
                <w:tab w:val="left" w:pos="1164"/>
              </w:tabs>
              <w:rPr>
                <w:b/>
                <w:sz w:val="22"/>
                <w:szCs w:val="22"/>
              </w:rPr>
            </w:pPr>
            <w:r w:rsidRPr="00813743">
              <w:rPr>
                <w:b/>
                <w:sz w:val="22"/>
                <w:szCs w:val="22"/>
              </w:rPr>
              <w:lastRenderedPageBreak/>
              <w:t>UNIDADE III</w:t>
            </w:r>
          </w:p>
          <w:p w:rsidR="00813743" w:rsidRDefault="00813743" w:rsidP="00813743">
            <w:pPr>
              <w:tabs>
                <w:tab w:val="left" w:pos="708"/>
                <w:tab w:val="left" w:pos="116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Marketing Pessoal: uma ferramenta para o sucesso</w:t>
            </w:r>
          </w:p>
          <w:p w:rsidR="00CA631E" w:rsidRDefault="00495D89" w:rsidP="00813743">
            <w:pPr>
              <w:tabs>
                <w:tab w:val="left" w:pos="708"/>
                <w:tab w:val="left" w:pos="116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 que diz o código de ética do nutricionista sobre o marketing aplicado a profissão?</w:t>
            </w:r>
          </w:p>
          <w:p w:rsidR="00813743" w:rsidRDefault="00813743" w:rsidP="00813743">
            <w:pPr>
              <w:tabs>
                <w:tab w:val="left" w:pos="708"/>
                <w:tab w:val="left" w:pos="116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Uso das redes sociais no marketing pessoal</w:t>
            </w:r>
          </w:p>
          <w:p w:rsidR="00FE5FD8" w:rsidRDefault="00813743" w:rsidP="00813743">
            <w:pPr>
              <w:jc w:val="both"/>
            </w:pPr>
            <w:r>
              <w:rPr>
                <w:sz w:val="22"/>
                <w:szCs w:val="22"/>
              </w:rPr>
              <w:t>O marketing de relacionamento na busca da fidelização do cliente</w:t>
            </w:r>
          </w:p>
        </w:tc>
      </w:tr>
    </w:tbl>
    <w:p w:rsidR="00FE5FD8" w:rsidRDefault="00FE5FD8">
      <w:pPr>
        <w:jc w:val="both"/>
      </w:pPr>
    </w:p>
    <w:tbl>
      <w:tblPr>
        <w:tblStyle w:val="a3"/>
        <w:tblW w:w="95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70"/>
      </w:tblGrid>
      <w:tr w:rsidR="00FE5FD8">
        <w:tc>
          <w:tcPr>
            <w:tcW w:w="9570" w:type="dxa"/>
            <w:shd w:val="clear" w:color="auto" w:fill="D9D9D9"/>
          </w:tcPr>
          <w:p w:rsidR="00FE5FD8" w:rsidRDefault="00D13A53">
            <w:pPr>
              <w:jc w:val="both"/>
            </w:pPr>
            <w:r>
              <w:t>V – PROCEDIMENTOS DE ENSINO</w:t>
            </w:r>
          </w:p>
        </w:tc>
      </w:tr>
      <w:tr w:rsidR="00FE5FD8">
        <w:trPr>
          <w:trHeight w:val="390"/>
        </w:trPr>
        <w:tc>
          <w:tcPr>
            <w:tcW w:w="9570" w:type="dxa"/>
          </w:tcPr>
          <w:p w:rsidR="00FE5FD8" w:rsidRDefault="00FE5FD8">
            <w:pPr>
              <w:jc w:val="both"/>
            </w:pPr>
          </w:p>
          <w:p w:rsidR="00FE5FD8" w:rsidRDefault="00D13A53">
            <w:pPr>
              <w:jc w:val="both"/>
            </w:pPr>
            <w:r>
              <w:rPr>
                <w:b/>
              </w:rPr>
              <w:t>Técnicas Educacionais</w:t>
            </w:r>
          </w:p>
          <w:p w:rsidR="00FE5FD8" w:rsidRDefault="00D13A53">
            <w:pPr>
              <w:jc w:val="both"/>
            </w:pPr>
            <w:r>
              <w:t xml:space="preserve">- </w:t>
            </w:r>
            <w:proofErr w:type="gramStart"/>
            <w:r>
              <w:t>Aula expositivo – dialogada em sala virtual</w:t>
            </w:r>
            <w:proofErr w:type="gramEnd"/>
          </w:p>
          <w:p w:rsidR="00FE5FD8" w:rsidRDefault="00D13A53">
            <w:pPr>
              <w:jc w:val="both"/>
            </w:pPr>
            <w:r>
              <w:t xml:space="preserve">- Discussão em grupos </w:t>
            </w:r>
          </w:p>
          <w:p w:rsidR="00FE5FD8" w:rsidRDefault="00D13A53">
            <w:pPr>
              <w:jc w:val="both"/>
            </w:pPr>
            <w:r>
              <w:t>- Leitura e</w:t>
            </w:r>
            <w:r w:rsidR="00073FE2">
              <w:t xml:space="preserve"> analise de textos científicos</w:t>
            </w:r>
          </w:p>
          <w:p w:rsidR="00FE5FD8" w:rsidRDefault="00D13A53">
            <w:pPr>
              <w:jc w:val="both"/>
            </w:pPr>
            <w:r>
              <w:t xml:space="preserve">- Resolução de casos clínicos e atividades </w:t>
            </w:r>
          </w:p>
          <w:p w:rsidR="00FE5FD8" w:rsidRDefault="00FE5FD8">
            <w:pPr>
              <w:jc w:val="both"/>
            </w:pPr>
          </w:p>
          <w:p w:rsidR="00FE5FD8" w:rsidRDefault="00D13A53">
            <w:pPr>
              <w:jc w:val="both"/>
            </w:pPr>
            <w:r>
              <w:rPr>
                <w:b/>
              </w:rPr>
              <w:t>Recursos Didáticos</w:t>
            </w:r>
          </w:p>
          <w:p w:rsidR="00FE5FD8" w:rsidRDefault="00D13A53">
            <w:pPr>
              <w:jc w:val="both"/>
            </w:pPr>
            <w:r>
              <w:t>- Notebook</w:t>
            </w:r>
          </w:p>
          <w:p w:rsidR="00FE5FD8" w:rsidRDefault="00073FE2">
            <w:pPr>
              <w:jc w:val="both"/>
            </w:pPr>
            <w:r>
              <w:t xml:space="preserve">- Textos de apoio </w:t>
            </w:r>
          </w:p>
          <w:p w:rsidR="00FE5FD8" w:rsidRDefault="00D13A53">
            <w:pPr>
              <w:jc w:val="both"/>
            </w:pPr>
            <w:r>
              <w:t xml:space="preserve">- Internet </w:t>
            </w:r>
          </w:p>
          <w:p w:rsidR="00FE5FD8" w:rsidRDefault="00D13A53">
            <w:pPr>
              <w:jc w:val="both"/>
            </w:pPr>
            <w:r>
              <w:t xml:space="preserve">- Plataforma da Rede Nacional de Ensino e Pesquisa </w:t>
            </w:r>
          </w:p>
          <w:p w:rsidR="00FE5FD8" w:rsidRDefault="00D13A53">
            <w:pPr>
              <w:jc w:val="both"/>
            </w:pPr>
            <w:r>
              <w:t>- Sistema Integrado de Gestão de Atividades Acadêmicas</w:t>
            </w:r>
          </w:p>
          <w:p w:rsidR="00FE5FD8" w:rsidRDefault="00FE5FD8">
            <w:pPr>
              <w:jc w:val="both"/>
            </w:pPr>
          </w:p>
          <w:p w:rsidR="00FE5FD8" w:rsidRDefault="00D13A53">
            <w:pPr>
              <w:jc w:val="both"/>
            </w:pPr>
            <w:r>
              <w:rPr>
                <w:b/>
              </w:rPr>
              <w:t>Atividades práticas</w:t>
            </w:r>
          </w:p>
          <w:p w:rsidR="009636E5" w:rsidRDefault="009636E5">
            <w:pPr>
              <w:jc w:val="both"/>
            </w:pPr>
            <w:r>
              <w:t>Como atividade prática os alunos desenvo</w:t>
            </w:r>
            <w:r w:rsidR="000256F3">
              <w:t>lverão um produto ou serviço em nutrição elaborando</w:t>
            </w:r>
            <w:r>
              <w:t xml:space="preserve"> todo o projeto de marketing deste e apresentarão em data</w:t>
            </w:r>
            <w:r w:rsidR="000256F3">
              <w:t xml:space="preserve"> previamente</w:t>
            </w:r>
            <w:r>
              <w:t xml:space="preserve"> acordada em sala </w:t>
            </w:r>
            <w:r w:rsidR="000256F3">
              <w:t>de aula virtual</w:t>
            </w:r>
            <w:r>
              <w:t>.</w:t>
            </w:r>
          </w:p>
          <w:p w:rsidR="00FE5FD8" w:rsidRDefault="00FE5FD8">
            <w:pPr>
              <w:jc w:val="both"/>
            </w:pPr>
          </w:p>
        </w:tc>
      </w:tr>
    </w:tbl>
    <w:p w:rsidR="00FE5FD8" w:rsidRDefault="00FE5FD8">
      <w:pPr>
        <w:jc w:val="both"/>
      </w:pPr>
    </w:p>
    <w:tbl>
      <w:tblPr>
        <w:tblStyle w:val="a4"/>
        <w:tblW w:w="95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70"/>
      </w:tblGrid>
      <w:tr w:rsidR="00FE5FD8">
        <w:tc>
          <w:tcPr>
            <w:tcW w:w="9570" w:type="dxa"/>
            <w:shd w:val="clear" w:color="auto" w:fill="D9D9D9"/>
          </w:tcPr>
          <w:p w:rsidR="00FE5FD8" w:rsidRDefault="00D13A53">
            <w:pPr>
              <w:jc w:val="both"/>
            </w:pPr>
            <w:r>
              <w:t>VI – SISTEMÁTICA DE AVALIAÇÃO</w:t>
            </w:r>
          </w:p>
        </w:tc>
      </w:tr>
      <w:tr w:rsidR="00FE5FD8">
        <w:trPr>
          <w:trHeight w:val="1244"/>
        </w:trPr>
        <w:tc>
          <w:tcPr>
            <w:tcW w:w="9570" w:type="dxa"/>
          </w:tcPr>
          <w:p w:rsidR="00FE5FD8" w:rsidRDefault="00FE5FD8">
            <w:pPr>
              <w:ind w:firstLine="180"/>
              <w:jc w:val="both"/>
            </w:pPr>
          </w:p>
          <w:p w:rsidR="00FE5FD8" w:rsidRDefault="00D13A53" w:rsidP="00914D7E">
            <w:pPr>
              <w:ind w:firstLine="360"/>
              <w:jc w:val="both"/>
            </w:pPr>
            <w:r>
              <w:t xml:space="preserve">Serão realizadas, durante o semestre letivo, </w:t>
            </w:r>
            <w:proofErr w:type="gramStart"/>
            <w:r>
              <w:t>3</w:t>
            </w:r>
            <w:proofErr w:type="gramEnd"/>
            <w:r>
              <w:t xml:space="preserve"> avaliações individuais e o exame final via Sistema Integrado de Gestão de Atividades Acadêmicas. Tais avaliações terão os resultados expressos por nota, obedecendo a uma escala de </w:t>
            </w:r>
            <w:proofErr w:type="gramStart"/>
            <w:r>
              <w:t>0</w:t>
            </w:r>
            <w:proofErr w:type="gramEnd"/>
            <w:r>
              <w:t xml:space="preserve"> (zero) a 10 (dez).</w:t>
            </w:r>
          </w:p>
          <w:p w:rsidR="00FE5FD8" w:rsidRDefault="00D13A53">
            <w:pPr>
              <w:ind w:firstLine="360"/>
              <w:jc w:val="both"/>
            </w:pPr>
            <w:r>
              <w:t xml:space="preserve">       A nota final da disciplina será a média aritmética das 03 (três) notas parciais (NP) descritas abaixo: </w:t>
            </w:r>
          </w:p>
          <w:p w:rsidR="00FE5FD8" w:rsidRDefault="00D13A53">
            <w:pPr>
              <w:ind w:firstLine="360"/>
              <w:jc w:val="both"/>
            </w:pPr>
            <w:r>
              <w:t>1ª NP: Avaliação escrita com questões objetivas e/ou subjetivas (10,0).</w:t>
            </w:r>
          </w:p>
          <w:p w:rsidR="00FE5FD8" w:rsidRDefault="00926C2B">
            <w:pPr>
              <w:ind w:firstLine="360"/>
              <w:jc w:val="both"/>
            </w:pPr>
            <w:r>
              <w:t>2ª NP: Apresentação de seminários</w:t>
            </w:r>
            <w:r w:rsidR="00D13A53">
              <w:t xml:space="preserve"> (10,0).</w:t>
            </w:r>
          </w:p>
          <w:p w:rsidR="00FE5FD8" w:rsidRDefault="00926C2B" w:rsidP="00914D7E">
            <w:pPr>
              <w:ind w:firstLine="360"/>
              <w:jc w:val="both"/>
            </w:pPr>
            <w:r>
              <w:t>3ª NP: Apresentação da atividade prática</w:t>
            </w:r>
            <w:r w:rsidR="00D13A53">
              <w:t xml:space="preserve"> (10,0).</w:t>
            </w:r>
          </w:p>
          <w:p w:rsidR="00FE5FD8" w:rsidRDefault="00D13A53">
            <w:pPr>
              <w:ind w:firstLine="360"/>
              <w:jc w:val="both"/>
            </w:pPr>
            <w:r>
              <w:t xml:space="preserve">A nota final (NF) da disciplina será calculada como </w:t>
            </w:r>
            <w:proofErr w:type="gramStart"/>
            <w:r>
              <w:t>média simples como descrito</w:t>
            </w:r>
            <w:proofErr w:type="gramEnd"/>
            <w:r>
              <w:t>:</w:t>
            </w:r>
          </w:p>
          <w:p w:rsidR="00FE5FD8" w:rsidRDefault="00D13A53" w:rsidP="00914D7E">
            <w:pPr>
              <w:ind w:firstLine="360"/>
              <w:jc w:val="both"/>
            </w:pPr>
            <w:r>
              <w:t>NF = 1ªNP + 2ªNP + 3ªNP / 3</w:t>
            </w:r>
          </w:p>
          <w:p w:rsidR="00FE5FD8" w:rsidRDefault="00D13A53">
            <w:pPr>
              <w:ind w:firstLine="360"/>
              <w:jc w:val="both"/>
            </w:pPr>
            <w:r>
              <w:t>Considerando as normas de funcionamento dos cursos de graduação, contidas na resolução 177/2012 do Conselho de Ensino, Pesquisa e Extensão-CEPEX, de onde se destacam os seguintes artigos:</w:t>
            </w:r>
          </w:p>
          <w:p w:rsidR="00FE5FD8" w:rsidRDefault="00D13A53">
            <w:pPr>
              <w:ind w:firstLine="360"/>
              <w:jc w:val="both"/>
            </w:pPr>
            <w:r>
              <w:t>Art. 110 Será aprovado por média o aluno que obtiver média parcial igual ou superior a 7,0 (sete) [...</w:t>
            </w:r>
            <w:proofErr w:type="gramStart"/>
            <w:r>
              <w:t>]</w:t>
            </w:r>
            <w:proofErr w:type="gramEnd"/>
          </w:p>
          <w:p w:rsidR="00FE5FD8" w:rsidRDefault="00D13A53">
            <w:pPr>
              <w:ind w:firstLine="360"/>
              <w:jc w:val="both"/>
            </w:pPr>
            <w:r>
              <w:t>Art. 111 Será considerado aprovado no componente curricular o aluno que:</w:t>
            </w:r>
          </w:p>
          <w:p w:rsidR="00FE5FD8" w:rsidRDefault="00D13A53">
            <w:pPr>
              <w:ind w:firstLine="360"/>
              <w:jc w:val="both"/>
            </w:pPr>
            <w:r>
              <w:lastRenderedPageBreak/>
              <w:t xml:space="preserve">I – Obtiver frequência igual ou superior a 75% (setenta e cinco por cento) da carga horária do componente curricular e média aritmética igual ou superior a </w:t>
            </w:r>
            <w:proofErr w:type="gramStart"/>
            <w:r>
              <w:t>7</w:t>
            </w:r>
            <w:proofErr w:type="gramEnd"/>
            <w:r>
              <w:t xml:space="preserve"> (sete) nas avaliações parciais;</w:t>
            </w:r>
          </w:p>
          <w:p w:rsidR="00FE5FD8" w:rsidRDefault="00D13A53">
            <w:pPr>
              <w:ind w:firstLine="360"/>
              <w:jc w:val="both"/>
            </w:pPr>
            <w:r>
              <w:t xml:space="preserve">II </w:t>
            </w:r>
            <w:proofErr w:type="gramStart"/>
            <w:r>
              <w:t>–Submetido</w:t>
            </w:r>
            <w:proofErr w:type="gramEnd"/>
            <w:r>
              <w:t xml:space="preserve"> ao exame final, obtiver média aritmética igual ou superior a 6 (seis) resultante da média aritmética das avaliações parciais e da nota do exame final.</w:t>
            </w:r>
          </w:p>
          <w:p w:rsidR="00FE5FD8" w:rsidRDefault="00D13A53">
            <w:pPr>
              <w:ind w:firstLine="360"/>
              <w:jc w:val="both"/>
            </w:pPr>
            <w:r>
              <w:t>Art. 112 Será considerado reprovado o aluno que se incluir em um dos três itens:</w:t>
            </w:r>
          </w:p>
          <w:p w:rsidR="00FE5FD8" w:rsidRDefault="00D13A53">
            <w:pPr>
              <w:ind w:firstLine="360"/>
              <w:jc w:val="both"/>
            </w:pPr>
            <w:r>
              <w:t>I – Obtiver frequência inferior a 75% (setenta e cinco por cento) da carga horária do componente curricular;</w:t>
            </w:r>
          </w:p>
          <w:p w:rsidR="00FE5FD8" w:rsidRDefault="00D13A53">
            <w:pPr>
              <w:ind w:firstLine="360"/>
              <w:jc w:val="both"/>
            </w:pPr>
            <w:r>
              <w:t xml:space="preserve">II – Obtiver média aritmética inferior a </w:t>
            </w:r>
            <w:proofErr w:type="gramStart"/>
            <w:r>
              <w:t>4</w:t>
            </w:r>
            <w:proofErr w:type="gramEnd"/>
            <w:r>
              <w:t xml:space="preserve"> (quatro) nas avaliações parciais;</w:t>
            </w:r>
          </w:p>
          <w:p w:rsidR="00FE5FD8" w:rsidRDefault="00D13A53">
            <w:pPr>
              <w:ind w:firstLine="360"/>
              <w:jc w:val="both"/>
            </w:pPr>
            <w:r>
              <w:t xml:space="preserve">III – Obtiver média aritmética inferior a </w:t>
            </w:r>
            <w:proofErr w:type="gramStart"/>
            <w:r>
              <w:t>6</w:t>
            </w:r>
            <w:proofErr w:type="gramEnd"/>
            <w:r>
              <w:t xml:space="preserve"> (seis) resultante da média aritmética das avaliações parciais e da nota do exame final.</w:t>
            </w:r>
          </w:p>
          <w:p w:rsidR="00FE5FD8" w:rsidRDefault="00D13A53">
            <w:pPr>
              <w:ind w:firstLine="360"/>
              <w:jc w:val="both"/>
            </w:pPr>
            <w:r>
              <w:t>Art. 113 É reprovado no componente curricular o aluno cuja média final for menor que 4,0 (quatro). Neste caso o aluno não se poderá se submeter ao exame final. [...]</w:t>
            </w:r>
          </w:p>
          <w:p w:rsidR="00FE5FD8" w:rsidRDefault="00D13A53">
            <w:pPr>
              <w:ind w:firstLine="360"/>
              <w:jc w:val="both"/>
            </w:pPr>
            <w:r>
              <w:t xml:space="preserve">Art. </w:t>
            </w:r>
            <w:proofErr w:type="gramStart"/>
            <w:r>
              <w:t>116 O aluno cuja média parcial for maior ou igual a 4,0 (quatro) e menor que 7,0 (sete) e que satisfaça os requisitos de assiduidade definidos no Artigo 117 terá direito à realização do exame final.”</w:t>
            </w:r>
            <w:proofErr w:type="gramEnd"/>
          </w:p>
          <w:p w:rsidR="00FE5FD8" w:rsidRDefault="00D13A53">
            <w:pPr>
              <w:ind w:firstLine="360"/>
              <w:jc w:val="both"/>
            </w:pPr>
            <w:r>
              <w:t>O exame final constará de prova contemplando todo o conteúdo programático, devendo ser realizado 05 (cinco) dias após a divulgação do resultado da média das verificações parciais, observado o Calendário Universitário.</w:t>
            </w:r>
          </w:p>
          <w:p w:rsidR="00FE5FD8" w:rsidRDefault="00D13A53">
            <w:pPr>
              <w:ind w:firstLine="360"/>
              <w:jc w:val="both"/>
            </w:pPr>
            <w:r>
              <w:t>Os critérios de realização da segunda chamada baseiam-se na resolução 177/2012 – CEPEX:</w:t>
            </w:r>
          </w:p>
          <w:p w:rsidR="00FE5FD8" w:rsidRDefault="00D13A53">
            <w:pPr>
              <w:ind w:firstLine="360"/>
              <w:jc w:val="both"/>
            </w:pPr>
            <w:r>
              <w:t xml:space="preserve">§ 1º O aluno poderá requerer exame de segunda chamada por si ou por procurador legalmente constituído. O requerimento dirigido ao professor responsável pela disciplina, devidamente justificado e comprovado, deve ser protocolado via e-mail à chefia do Departamento/Curso a qual o componente curricular esteja </w:t>
            </w:r>
            <w:proofErr w:type="gramStart"/>
            <w:r>
              <w:t>vinculada no prazo de 03 (três) dias úteis</w:t>
            </w:r>
            <w:proofErr w:type="gramEnd"/>
            <w:r>
              <w:t>, contado este prazo a partir da data da avaliação não realizada.</w:t>
            </w:r>
          </w:p>
          <w:p w:rsidR="00FE5FD8" w:rsidRDefault="00D13A53">
            <w:pPr>
              <w:ind w:firstLine="360"/>
              <w:jc w:val="both"/>
            </w:pPr>
            <w:r>
              <w:t xml:space="preserve">§ 2º Consideram-se motivos que justificam a ausência do aluno às verificações parciais e/ou ao exame final: a) doença; b) doença ou óbito de familiares diretos; c) Audiência Judicial; d) </w:t>
            </w:r>
            <w:proofErr w:type="gramStart"/>
            <w:r>
              <w:t>Militares, policiais</w:t>
            </w:r>
            <w:proofErr w:type="gramEnd"/>
            <w:r>
              <w:t xml:space="preserve"> e outros profissionais em missão oficial; e) Participação em congressos, reuniões oficiais ou eventos culturais representando a Universidade, o Município ou Estado; f) Outros motivos que, apresentados, possam ser julgados procedentes.</w:t>
            </w:r>
          </w:p>
          <w:p w:rsidR="00FE5FD8" w:rsidRDefault="00D13A53">
            <w:pPr>
              <w:ind w:firstLine="360"/>
              <w:jc w:val="both"/>
            </w:pPr>
            <w:r>
              <w:t>§ 3º O professor ou professores do componente curricular terão um prazo máximo de dois dias úteis, a partir do recebimento do requerimento, para julgá-los e marcar uma data de realização da verificação de segunda chamada.</w:t>
            </w:r>
          </w:p>
          <w:p w:rsidR="00FE5FD8" w:rsidRDefault="00D13A53">
            <w:pPr>
              <w:ind w:firstLine="360"/>
              <w:jc w:val="both"/>
            </w:pPr>
            <w:r>
              <w:t xml:space="preserve">§ 4º A realização da verificação de segunda chamada </w:t>
            </w:r>
            <w:proofErr w:type="gramStart"/>
            <w:r>
              <w:t>obedecerá o</w:t>
            </w:r>
            <w:proofErr w:type="gramEnd"/>
            <w:r>
              <w:t xml:space="preserve"> prazo de até 05 (cinco) dias após o deferimento do pedido do aluno, observando o Calendário Acadêmico.</w:t>
            </w:r>
          </w:p>
          <w:p w:rsidR="00FE5FD8" w:rsidRDefault="00D13A53">
            <w:pPr>
              <w:ind w:firstLine="360"/>
              <w:jc w:val="both"/>
            </w:pPr>
            <w:r>
              <w:t>§ 5º A avaliação de segunda chamada deverá contemplar o mesmo conteúdo da verificação parcial ou exame final a que o aluno não compareceu.</w:t>
            </w:r>
          </w:p>
          <w:p w:rsidR="00FE5FD8" w:rsidRDefault="00D13A53">
            <w:pPr>
              <w:ind w:left="360"/>
              <w:jc w:val="both"/>
            </w:pPr>
            <w:r>
              <w:t xml:space="preserve">§ 6º Ao aluno que não participar de qualquer avaliação, não tendo obtido a permissão para fazer outra, é atribuída a nota </w:t>
            </w:r>
            <w:proofErr w:type="gramStart"/>
            <w:r>
              <w:t>0</w:t>
            </w:r>
            <w:proofErr w:type="gramEnd"/>
            <w:r>
              <w:t xml:space="preserve"> (zero).</w:t>
            </w:r>
          </w:p>
        </w:tc>
      </w:tr>
    </w:tbl>
    <w:p w:rsidR="00FE5FD8" w:rsidRDefault="00FE5FD8">
      <w:pPr>
        <w:jc w:val="both"/>
      </w:pPr>
    </w:p>
    <w:tbl>
      <w:tblPr>
        <w:tblStyle w:val="a5"/>
        <w:tblW w:w="95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70"/>
      </w:tblGrid>
      <w:tr w:rsidR="00FE5FD8">
        <w:tc>
          <w:tcPr>
            <w:tcW w:w="9570" w:type="dxa"/>
            <w:shd w:val="clear" w:color="auto" w:fill="D9D9D9"/>
          </w:tcPr>
          <w:p w:rsidR="00FE5FD8" w:rsidRDefault="00D13A53">
            <w:pPr>
              <w:jc w:val="both"/>
            </w:pPr>
            <w:r>
              <w:t>VII – BIBLIOGRAFIA</w:t>
            </w:r>
          </w:p>
        </w:tc>
      </w:tr>
      <w:tr w:rsidR="00FE5FD8">
        <w:trPr>
          <w:trHeight w:val="1270"/>
        </w:trPr>
        <w:tc>
          <w:tcPr>
            <w:tcW w:w="9570" w:type="dxa"/>
          </w:tcPr>
          <w:p w:rsidR="00FE5FD8" w:rsidRDefault="00FE5FD8">
            <w:pPr>
              <w:jc w:val="both"/>
            </w:pPr>
          </w:p>
          <w:p w:rsidR="00FE5FD8" w:rsidRDefault="00D13A53">
            <w:pPr>
              <w:jc w:val="both"/>
            </w:pPr>
            <w:r>
              <w:rPr>
                <w:b/>
              </w:rPr>
              <w:t>BÁSICA:</w:t>
            </w:r>
          </w:p>
          <w:p w:rsidR="00CB0A52" w:rsidRDefault="00CB0A52" w:rsidP="00CB0A52">
            <w:pPr>
              <w:jc w:val="both"/>
            </w:pPr>
            <w:r>
              <w:t xml:space="preserve">BAKER, M. J. (Org.). </w:t>
            </w:r>
            <w:r w:rsidRPr="008E1A40">
              <w:rPr>
                <w:b/>
              </w:rPr>
              <w:t>Administração de marketing</w:t>
            </w:r>
            <w:r>
              <w:t xml:space="preserve">. Rio de Janeiro: </w:t>
            </w:r>
            <w:proofErr w:type="spellStart"/>
            <w:r>
              <w:t>Elsevier</w:t>
            </w:r>
            <w:proofErr w:type="spellEnd"/>
            <w:r>
              <w:t xml:space="preserve">, 2005. 603p. </w:t>
            </w:r>
          </w:p>
          <w:p w:rsidR="00CB0A52" w:rsidRDefault="00CB0A52" w:rsidP="00CB0A52">
            <w:pPr>
              <w:jc w:val="both"/>
            </w:pPr>
            <w:r>
              <w:t xml:space="preserve">CASAS, A. L. L. </w:t>
            </w:r>
            <w:r w:rsidRPr="008E1A40">
              <w:rPr>
                <w:b/>
              </w:rPr>
              <w:t xml:space="preserve">Marketing: conceitos, </w:t>
            </w:r>
            <w:proofErr w:type="spellStart"/>
            <w:r w:rsidRPr="008E1A40">
              <w:rPr>
                <w:b/>
              </w:rPr>
              <w:t>exercicios</w:t>
            </w:r>
            <w:proofErr w:type="spellEnd"/>
            <w:r w:rsidRPr="008E1A40">
              <w:rPr>
                <w:b/>
              </w:rPr>
              <w:t>, casos.</w:t>
            </w:r>
            <w:r>
              <w:t xml:space="preserve"> 7. </w:t>
            </w:r>
            <w:proofErr w:type="gramStart"/>
            <w:r>
              <w:t>ed.</w:t>
            </w:r>
            <w:proofErr w:type="gramEnd"/>
            <w:r>
              <w:t xml:space="preserve"> São Paulo: Atlas, 2006. 324.</w:t>
            </w:r>
          </w:p>
          <w:p w:rsidR="00CB0A52" w:rsidRDefault="00CB0A52" w:rsidP="00CB0A52">
            <w:pPr>
              <w:jc w:val="both"/>
            </w:pPr>
            <w:r w:rsidRPr="00914D7E">
              <w:rPr>
                <w:lang w:val="en-US"/>
              </w:rPr>
              <w:t>KOTLER, P.; ARMSTRONG, G. (</w:t>
            </w:r>
            <w:proofErr w:type="spellStart"/>
            <w:r w:rsidRPr="00914D7E">
              <w:rPr>
                <w:lang w:val="en-US"/>
              </w:rPr>
              <w:t>Colab</w:t>
            </w:r>
            <w:proofErr w:type="spellEnd"/>
            <w:r w:rsidRPr="00914D7E">
              <w:rPr>
                <w:lang w:val="en-US"/>
              </w:rPr>
              <w:t xml:space="preserve">.). </w:t>
            </w:r>
            <w:r w:rsidRPr="008E1A40">
              <w:rPr>
                <w:b/>
              </w:rPr>
              <w:t>Princípios de marketing.</w:t>
            </w:r>
            <w:r>
              <w:t xml:space="preserve"> 9. </w:t>
            </w:r>
            <w:proofErr w:type="gramStart"/>
            <w:r>
              <w:t>ed.</w:t>
            </w:r>
            <w:proofErr w:type="gramEnd"/>
            <w:r>
              <w:t xml:space="preserve"> São Paulo: Pearson </w:t>
            </w:r>
            <w:r>
              <w:lastRenderedPageBreak/>
              <w:t>Prentice Hall, 2003.</w:t>
            </w:r>
          </w:p>
          <w:p w:rsidR="00CB0A52" w:rsidRDefault="00CB0A52" w:rsidP="00CB0A52">
            <w:pPr>
              <w:jc w:val="both"/>
            </w:pPr>
            <w:r w:rsidRPr="00914D7E">
              <w:rPr>
                <w:lang w:val="en-US"/>
              </w:rPr>
              <w:t>KOTLER, P.; KELLER, K. L. (</w:t>
            </w:r>
            <w:proofErr w:type="spellStart"/>
            <w:r w:rsidRPr="00914D7E">
              <w:rPr>
                <w:lang w:val="en-US"/>
              </w:rPr>
              <w:t>Colab</w:t>
            </w:r>
            <w:proofErr w:type="spellEnd"/>
            <w:r w:rsidRPr="00914D7E">
              <w:rPr>
                <w:lang w:val="en-US"/>
              </w:rPr>
              <w:t xml:space="preserve">.). </w:t>
            </w:r>
            <w:r w:rsidRPr="008E1A40">
              <w:rPr>
                <w:b/>
              </w:rPr>
              <w:t>Administração de marketing</w:t>
            </w:r>
            <w:r>
              <w:t xml:space="preserve">. 12. </w:t>
            </w:r>
            <w:proofErr w:type="gramStart"/>
            <w:r>
              <w:t>ed.</w:t>
            </w:r>
            <w:proofErr w:type="gramEnd"/>
            <w:r>
              <w:t xml:space="preserve"> </w:t>
            </w:r>
            <w:proofErr w:type="spellStart"/>
            <w:r>
              <w:t>Sao</w:t>
            </w:r>
            <w:proofErr w:type="spellEnd"/>
            <w:r>
              <w:t xml:space="preserve"> Paulo: Pearson Prentice Hall, 2006.</w:t>
            </w:r>
          </w:p>
          <w:p w:rsidR="00FE5FD8" w:rsidRPr="00CB0A52" w:rsidRDefault="00CB0A52">
            <w:pPr>
              <w:jc w:val="both"/>
              <w:rPr>
                <w:rFonts w:eastAsia="Arial Unicode MS"/>
                <w:b/>
              </w:rPr>
            </w:pPr>
            <w:r>
              <w:t xml:space="preserve">KOTLER, P. </w:t>
            </w:r>
            <w:r w:rsidRPr="008E1A40">
              <w:rPr>
                <w:b/>
              </w:rPr>
              <w:t xml:space="preserve">Marketing de </w:t>
            </w:r>
            <w:proofErr w:type="gramStart"/>
            <w:r w:rsidRPr="008E1A40">
              <w:rPr>
                <w:b/>
              </w:rPr>
              <w:t xml:space="preserve">A </w:t>
            </w:r>
            <w:proofErr w:type="spellStart"/>
            <w:r w:rsidRPr="008E1A40">
              <w:rPr>
                <w:b/>
              </w:rPr>
              <w:t>a</w:t>
            </w:r>
            <w:proofErr w:type="spellEnd"/>
            <w:proofErr w:type="gramEnd"/>
            <w:r w:rsidRPr="008E1A40">
              <w:rPr>
                <w:b/>
              </w:rPr>
              <w:t xml:space="preserve"> Z: 80 conceitos que todo profissional precisa saber.</w:t>
            </w:r>
            <w:r>
              <w:t xml:space="preserve"> 6. </w:t>
            </w:r>
            <w:proofErr w:type="gramStart"/>
            <w:r>
              <w:t>ed.</w:t>
            </w:r>
            <w:proofErr w:type="gramEnd"/>
            <w:r>
              <w:t xml:space="preserve"> Rio de Janeiro: </w:t>
            </w:r>
            <w:proofErr w:type="spellStart"/>
            <w:r>
              <w:t>Elsevier</w:t>
            </w:r>
            <w:proofErr w:type="spellEnd"/>
            <w:r>
              <w:t>, 2003. 251p.</w:t>
            </w:r>
          </w:p>
          <w:p w:rsidR="00FE5FD8" w:rsidRDefault="00FE5FD8">
            <w:pPr>
              <w:jc w:val="both"/>
            </w:pPr>
          </w:p>
          <w:p w:rsidR="00FE5FD8" w:rsidRDefault="00D13A53">
            <w:pPr>
              <w:jc w:val="both"/>
            </w:pPr>
            <w:r>
              <w:rPr>
                <w:b/>
              </w:rPr>
              <w:t>COMPLEMENTAR:</w:t>
            </w:r>
          </w:p>
          <w:p w:rsidR="00CB0A52" w:rsidRDefault="00D13A53" w:rsidP="00CB0A52">
            <w:pPr>
              <w:jc w:val="both"/>
            </w:pPr>
            <w:r>
              <w:rPr>
                <w:b/>
              </w:rPr>
              <w:t xml:space="preserve"> </w:t>
            </w:r>
            <w:r w:rsidR="00CB0A52">
              <w:t xml:space="preserve">CASTELLI, G. </w:t>
            </w:r>
            <w:r w:rsidR="00CB0A52" w:rsidRPr="00393D0C">
              <w:rPr>
                <w:b/>
              </w:rPr>
              <w:t>Administração hoteleira.</w:t>
            </w:r>
            <w:r w:rsidR="00CB0A52">
              <w:t xml:space="preserve"> 9. </w:t>
            </w:r>
            <w:proofErr w:type="gramStart"/>
            <w:r w:rsidR="00CB0A52">
              <w:t>ed.</w:t>
            </w:r>
            <w:proofErr w:type="gramEnd"/>
            <w:r w:rsidR="00CB0A52">
              <w:t xml:space="preserve"> Caxias do Sul: EDUCS, 2003. 731p. (Coleção Hotelaria). </w:t>
            </w:r>
          </w:p>
          <w:p w:rsidR="00CB0A52" w:rsidRDefault="00CB0A52" w:rsidP="00CB0A52">
            <w:pPr>
              <w:jc w:val="both"/>
            </w:pPr>
            <w:r w:rsidRPr="00914D7E">
              <w:rPr>
                <w:lang w:val="en-US"/>
              </w:rPr>
              <w:t>CHURCHILL JR, G. A.; PETER, J. P. (</w:t>
            </w:r>
            <w:proofErr w:type="spellStart"/>
            <w:r w:rsidRPr="00914D7E">
              <w:rPr>
                <w:lang w:val="en-US"/>
              </w:rPr>
              <w:t>Colab</w:t>
            </w:r>
            <w:proofErr w:type="spellEnd"/>
            <w:r w:rsidRPr="00914D7E">
              <w:rPr>
                <w:lang w:val="en-US"/>
              </w:rPr>
              <w:t xml:space="preserve">.). </w:t>
            </w:r>
            <w:r w:rsidRPr="00393D0C">
              <w:rPr>
                <w:b/>
              </w:rPr>
              <w:t>Marketing: criando valor para os clientes</w:t>
            </w:r>
            <w:r w:rsidRPr="00393D0C">
              <w:t xml:space="preserve">. São Paulo: </w:t>
            </w:r>
            <w:proofErr w:type="gramStart"/>
            <w:r w:rsidRPr="00393D0C">
              <w:t>Saraiva,</w:t>
            </w:r>
            <w:proofErr w:type="gramEnd"/>
            <w:r w:rsidRPr="00393D0C">
              <w:t xml:space="preserve"> 2005. 626p.</w:t>
            </w:r>
          </w:p>
          <w:p w:rsidR="00CB0A52" w:rsidRDefault="00CB0A52" w:rsidP="00CB0A52">
            <w:pPr>
              <w:jc w:val="both"/>
            </w:pPr>
            <w:r>
              <w:t>DIAS, S. R. (Coord.); MACHLINE, Claude (</w:t>
            </w:r>
            <w:proofErr w:type="spellStart"/>
            <w:r>
              <w:t>Colab</w:t>
            </w:r>
            <w:proofErr w:type="spellEnd"/>
            <w:r>
              <w:t>.); ROJO, F. J. G. (</w:t>
            </w:r>
            <w:proofErr w:type="spellStart"/>
            <w:r>
              <w:t>Colab</w:t>
            </w:r>
            <w:proofErr w:type="spellEnd"/>
            <w:r>
              <w:t xml:space="preserve">.). </w:t>
            </w:r>
            <w:r w:rsidRPr="00393D0C">
              <w:rPr>
                <w:b/>
              </w:rPr>
              <w:t>Gestão de marketing.</w:t>
            </w:r>
            <w:r>
              <w:t xml:space="preserve"> São Paulo: </w:t>
            </w:r>
            <w:proofErr w:type="gramStart"/>
            <w:r>
              <w:t>Saraiva,</w:t>
            </w:r>
            <w:proofErr w:type="gramEnd"/>
            <w:r>
              <w:t xml:space="preserve"> 2003. 539p. </w:t>
            </w:r>
          </w:p>
          <w:p w:rsidR="00CB0A52" w:rsidRDefault="00CB0A52" w:rsidP="00CB0A52">
            <w:pPr>
              <w:jc w:val="both"/>
            </w:pPr>
            <w:r>
              <w:t xml:space="preserve">GRACIOSO, F. </w:t>
            </w:r>
            <w:r w:rsidRPr="00393D0C">
              <w:rPr>
                <w:b/>
              </w:rPr>
              <w:t>Marketing estratégico: planejamento estratégico orientado para o mercado</w:t>
            </w:r>
            <w:r>
              <w:t xml:space="preserve">. 5. </w:t>
            </w:r>
            <w:proofErr w:type="gramStart"/>
            <w:r>
              <w:t>ed.</w:t>
            </w:r>
            <w:proofErr w:type="gramEnd"/>
            <w:r>
              <w:t xml:space="preserve"> São Paulo: Atlas, 2005. 317p. </w:t>
            </w:r>
          </w:p>
          <w:p w:rsidR="00CB0A52" w:rsidRDefault="00CB0A52" w:rsidP="00CB0A52">
            <w:pPr>
              <w:jc w:val="both"/>
            </w:pPr>
            <w:r>
              <w:t xml:space="preserve">KOTLER, P. </w:t>
            </w:r>
            <w:r w:rsidRPr="00393D0C">
              <w:rPr>
                <w:b/>
              </w:rPr>
              <w:t xml:space="preserve">Administração de marketing: análise, planejamento, </w:t>
            </w:r>
            <w:proofErr w:type="gramStart"/>
            <w:r w:rsidRPr="00393D0C">
              <w:rPr>
                <w:b/>
              </w:rPr>
              <w:t>implementação</w:t>
            </w:r>
            <w:proofErr w:type="gramEnd"/>
            <w:r w:rsidRPr="00393D0C">
              <w:rPr>
                <w:b/>
              </w:rPr>
              <w:t xml:space="preserve"> e controle</w:t>
            </w:r>
            <w:r>
              <w:t xml:space="preserve">. 5. </w:t>
            </w:r>
            <w:proofErr w:type="gramStart"/>
            <w:r>
              <w:t>ed.</w:t>
            </w:r>
            <w:proofErr w:type="gramEnd"/>
            <w:r>
              <w:t xml:space="preserve"> São Paulo: Atlas, 1998. 725p. </w:t>
            </w:r>
          </w:p>
          <w:p w:rsidR="00FE5FD8" w:rsidRDefault="00CB0A52" w:rsidP="00CB0A52">
            <w:pPr>
              <w:jc w:val="both"/>
            </w:pPr>
            <w:r>
              <w:t>ZENONE, L. C.; BUAIRIDE, A. M. R. (</w:t>
            </w:r>
            <w:proofErr w:type="spellStart"/>
            <w:r>
              <w:t>Colab</w:t>
            </w:r>
            <w:proofErr w:type="spellEnd"/>
            <w:r>
              <w:t xml:space="preserve">.). </w:t>
            </w:r>
            <w:r w:rsidRPr="00393D0C">
              <w:rPr>
                <w:b/>
              </w:rPr>
              <w:t>Marketing da promoção e merchandising.</w:t>
            </w:r>
            <w:r>
              <w:t xml:space="preserve"> São Paulo: Thomson, 2006. 179p.</w:t>
            </w:r>
            <w:r w:rsidR="00EE310F">
              <w:t xml:space="preserve"> </w:t>
            </w:r>
          </w:p>
        </w:tc>
      </w:tr>
    </w:tbl>
    <w:p w:rsidR="00FE5FD8" w:rsidRDefault="00FE5FD8"/>
    <w:p w:rsidR="00FE5FD8" w:rsidRDefault="00D13A53">
      <w:r>
        <w:t>SUBMISSÃO AO COLEGIADO DO CURSO</w:t>
      </w:r>
    </w:p>
    <w:p w:rsidR="00FE5FD8" w:rsidRDefault="00FE5FD8"/>
    <w:p w:rsidR="00914D7E" w:rsidRPr="00862E5F" w:rsidRDefault="00914D7E" w:rsidP="00914D7E">
      <w:pPr>
        <w:rPr>
          <w:rFonts w:eastAsia="Arial Unicode MS"/>
        </w:rPr>
      </w:pPr>
      <w:r>
        <w:rPr>
          <w:rFonts w:eastAsia="Arial Unicode MS"/>
        </w:rPr>
        <w:t>Data de envio: 17/07/2020</w:t>
      </w:r>
    </w:p>
    <w:p w:rsidR="00914D7E" w:rsidRDefault="00914D7E" w:rsidP="00914D7E">
      <w:pPr>
        <w:rPr>
          <w:rFonts w:eastAsia="Arial Unicode MS"/>
        </w:rPr>
      </w:pPr>
    </w:p>
    <w:p w:rsidR="00914D7E" w:rsidRPr="00862E5F" w:rsidRDefault="00914D7E" w:rsidP="00914D7E">
      <w:pPr>
        <w:rPr>
          <w:rFonts w:eastAsia="Arial Unicode MS"/>
        </w:rPr>
      </w:pPr>
      <w:r w:rsidRPr="00862E5F">
        <w:rPr>
          <w:rFonts w:eastAsia="Arial Unicode MS"/>
        </w:rPr>
        <w:t xml:space="preserve">Data de aprovação: </w:t>
      </w:r>
      <w:r>
        <w:rPr>
          <w:rFonts w:eastAsia="Arial Unicode MS"/>
        </w:rPr>
        <w:t>20</w:t>
      </w:r>
      <w:r w:rsidRPr="00862E5F">
        <w:rPr>
          <w:rFonts w:eastAsia="Arial Unicode MS"/>
        </w:rPr>
        <w:t>/</w:t>
      </w:r>
      <w:r>
        <w:rPr>
          <w:rFonts w:eastAsia="Arial Unicode MS"/>
        </w:rPr>
        <w:t>07/2020</w:t>
      </w:r>
    </w:p>
    <w:p w:rsidR="00914D7E" w:rsidRDefault="00914D7E" w:rsidP="00914D7E">
      <w:pPr>
        <w:rPr>
          <w:rFonts w:eastAsia="Arial Unicode MS"/>
        </w:rPr>
      </w:pPr>
    </w:p>
    <w:p w:rsidR="00914D7E" w:rsidRPr="00862E5F" w:rsidRDefault="00914D7E" w:rsidP="00914D7E">
      <w:pPr>
        <w:jc w:val="center"/>
        <w:rPr>
          <w:rFonts w:eastAsia="Arial Unicode MS"/>
        </w:rPr>
      </w:pPr>
      <w:r>
        <w:rPr>
          <w:rFonts w:eastAsia="Arial Unicode MS"/>
          <w:noProof/>
        </w:rPr>
        <w:drawing>
          <wp:inline distT="0" distB="0" distL="0" distR="0" wp14:anchorId="575234CD" wp14:editId="07C085D3">
            <wp:extent cx="2657475" cy="657225"/>
            <wp:effectExtent l="0" t="0" r="9525" b="9525"/>
            <wp:docPr id="2" name="Imagem 2" descr="C:\Users\Oniranda\Documents\joilane\ASSINATURA\scaner carimbo assinatu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niranda\Documents\joilane\ASSINATURA\scaner carimbo assinatur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458" b="16666"/>
                    <a:stretch/>
                  </pic:blipFill>
                  <pic:spPr bwMode="auto">
                    <a:xfrm>
                      <a:off x="0" y="0"/>
                      <a:ext cx="26574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14D7E" w:rsidRDefault="00914D7E" w:rsidP="00914D7E">
      <w:pPr>
        <w:jc w:val="center"/>
        <w:rPr>
          <w:rFonts w:eastAsia="Arial Unicode MS"/>
          <w:sz w:val="18"/>
          <w:szCs w:val="18"/>
        </w:rPr>
      </w:pPr>
      <w:r w:rsidRPr="00862E5F">
        <w:rPr>
          <w:rFonts w:eastAsia="Arial Unicode MS"/>
          <w:sz w:val="18"/>
          <w:szCs w:val="18"/>
        </w:rPr>
        <w:t xml:space="preserve">Carimbo e Assinatura </w:t>
      </w:r>
      <w:proofErr w:type="gramStart"/>
      <w:r w:rsidRPr="00862E5F">
        <w:rPr>
          <w:rFonts w:eastAsia="Arial Unicode MS"/>
          <w:sz w:val="18"/>
          <w:szCs w:val="18"/>
        </w:rPr>
        <w:t>do(</w:t>
      </w:r>
      <w:proofErr w:type="gramEnd"/>
      <w:r w:rsidRPr="00862E5F">
        <w:rPr>
          <w:rFonts w:eastAsia="Arial Unicode MS"/>
          <w:sz w:val="18"/>
          <w:szCs w:val="18"/>
        </w:rPr>
        <w:t xml:space="preserve">a) </w:t>
      </w:r>
      <w:r>
        <w:rPr>
          <w:rFonts w:eastAsia="Arial Unicode MS"/>
          <w:sz w:val="18"/>
          <w:szCs w:val="18"/>
        </w:rPr>
        <w:t>Coordenador(a)</w:t>
      </w:r>
    </w:p>
    <w:p w:rsidR="00914D7E" w:rsidRDefault="00914D7E" w:rsidP="00914D7E">
      <w:pPr>
        <w:jc w:val="right"/>
        <w:rPr>
          <w:rFonts w:eastAsia="Arial Unicode MS"/>
          <w:sz w:val="18"/>
          <w:szCs w:val="18"/>
        </w:rPr>
      </w:pPr>
    </w:p>
    <w:p w:rsidR="00914D7E" w:rsidRDefault="00914D7E" w:rsidP="00914D7E">
      <w:pPr>
        <w:jc w:val="right"/>
        <w:rPr>
          <w:rFonts w:eastAsia="Arial Unicode MS"/>
          <w:sz w:val="18"/>
          <w:szCs w:val="18"/>
        </w:rPr>
      </w:pPr>
    </w:p>
    <w:p w:rsidR="00663CE4" w:rsidRDefault="00663CE4" w:rsidP="00914D7E">
      <w:pPr>
        <w:jc w:val="right"/>
        <w:rPr>
          <w:rFonts w:eastAsia="Arial Unicode MS"/>
          <w:sz w:val="18"/>
          <w:szCs w:val="18"/>
        </w:rPr>
      </w:pPr>
    </w:p>
    <w:p w:rsidR="00914D7E" w:rsidRDefault="00914D7E" w:rsidP="00914D7E">
      <w:pPr>
        <w:jc w:val="right"/>
        <w:rPr>
          <w:rFonts w:eastAsia="Arial Unicode MS"/>
          <w:sz w:val="18"/>
          <w:szCs w:val="18"/>
        </w:rPr>
      </w:pPr>
    </w:p>
    <w:p w:rsidR="00914D7E" w:rsidRDefault="00914D7E" w:rsidP="00914D7E">
      <w:pPr>
        <w:jc w:val="right"/>
        <w:rPr>
          <w:rFonts w:eastAsia="Arial Unicode MS"/>
          <w:sz w:val="18"/>
          <w:szCs w:val="18"/>
        </w:rPr>
      </w:pPr>
    </w:p>
    <w:p w:rsidR="00914D7E" w:rsidRDefault="00914D7E" w:rsidP="00914D7E">
      <w:pPr>
        <w:jc w:val="right"/>
        <w:rPr>
          <w:rFonts w:eastAsia="Arial Unicode MS"/>
          <w:sz w:val="18"/>
          <w:szCs w:val="18"/>
        </w:rPr>
      </w:pPr>
    </w:p>
    <w:p w:rsidR="00914D7E" w:rsidRDefault="00914D7E" w:rsidP="00914D7E">
      <w:pPr>
        <w:jc w:val="right"/>
        <w:rPr>
          <w:rFonts w:eastAsia="Arial Unicode MS"/>
          <w:sz w:val="18"/>
          <w:szCs w:val="18"/>
        </w:rPr>
      </w:pPr>
    </w:p>
    <w:p w:rsidR="00914D7E" w:rsidRDefault="00914D7E" w:rsidP="00914D7E">
      <w:pPr>
        <w:jc w:val="right"/>
        <w:rPr>
          <w:rFonts w:eastAsia="Arial Unicode MS"/>
          <w:sz w:val="18"/>
          <w:szCs w:val="18"/>
        </w:rPr>
      </w:pPr>
    </w:p>
    <w:p w:rsidR="00663CE4" w:rsidRDefault="00663CE4" w:rsidP="00914D7E">
      <w:pPr>
        <w:jc w:val="right"/>
        <w:rPr>
          <w:rFonts w:eastAsia="Arial Unicode MS"/>
        </w:rPr>
      </w:pPr>
    </w:p>
    <w:p w:rsidR="00663CE4" w:rsidRDefault="00663CE4" w:rsidP="00663CE4">
      <w:pPr>
        <w:jc w:val="right"/>
        <w:rPr>
          <w:rFonts w:eastAsia="Arial Unicode MS"/>
        </w:rPr>
      </w:pPr>
    </w:p>
    <w:p w:rsidR="00914D7E" w:rsidRDefault="00663CE4" w:rsidP="00663CE4">
      <w:pPr>
        <w:jc w:val="right"/>
        <w:rPr>
          <w:rFonts w:eastAsia="Arial Unicode MS"/>
          <w:sz w:val="18"/>
          <w:szCs w:val="18"/>
        </w:rPr>
      </w:pPr>
      <w:r w:rsidRPr="00663CE4">
        <w:rPr>
          <w:rFonts w:eastAsia="Arial Unicode MS"/>
        </w:rPr>
        <w:drawing>
          <wp:inline distT="0" distB="0" distL="0" distR="0" wp14:anchorId="5D2D20CD" wp14:editId="275052AF">
            <wp:extent cx="2378534" cy="483108"/>
            <wp:effectExtent l="0" t="0" r="3175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9004" cy="4832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4D7E" w:rsidRDefault="00914D7E" w:rsidP="00914D7E">
      <w:pPr>
        <w:jc w:val="right"/>
        <w:rPr>
          <w:rFonts w:eastAsia="Arial Unicode MS"/>
          <w:sz w:val="18"/>
          <w:szCs w:val="18"/>
        </w:rPr>
      </w:pPr>
      <w:r>
        <w:rPr>
          <w:rFonts w:eastAsia="Arial Unicode MS"/>
          <w:sz w:val="18"/>
          <w:szCs w:val="18"/>
        </w:rPr>
        <w:t xml:space="preserve">Assinatura dos Professores Responsáveis </w:t>
      </w:r>
    </w:p>
    <w:p w:rsidR="00914D7E" w:rsidRPr="00862E5F" w:rsidRDefault="00914D7E" w:rsidP="00914D7E">
      <w:pPr>
        <w:jc w:val="right"/>
        <w:rPr>
          <w:rFonts w:eastAsia="Arial Unicode MS"/>
          <w:sz w:val="18"/>
          <w:szCs w:val="18"/>
        </w:rPr>
      </w:pPr>
    </w:p>
    <w:p w:rsidR="00FE5FD8" w:rsidRDefault="00FE5FD8">
      <w:pPr>
        <w:jc w:val="right"/>
        <w:rPr>
          <w:sz w:val="18"/>
          <w:szCs w:val="18"/>
        </w:rPr>
      </w:pPr>
      <w:bookmarkStart w:id="0" w:name="_GoBack"/>
      <w:bookmarkEnd w:id="0"/>
    </w:p>
    <w:sectPr w:rsidR="00FE5FD8">
      <w:headerReference w:type="default" r:id="rId10"/>
      <w:pgSz w:w="11906" w:h="16838"/>
      <w:pgMar w:top="1134" w:right="1134" w:bottom="851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57D" w:rsidRDefault="001C757D">
      <w:r>
        <w:separator/>
      </w:r>
    </w:p>
  </w:endnote>
  <w:endnote w:type="continuationSeparator" w:id="0">
    <w:p w:rsidR="001C757D" w:rsidRDefault="001C7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57D" w:rsidRDefault="001C757D">
      <w:r>
        <w:separator/>
      </w:r>
    </w:p>
  </w:footnote>
  <w:footnote w:type="continuationSeparator" w:id="0">
    <w:p w:rsidR="001C757D" w:rsidRDefault="001C75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FD8" w:rsidRDefault="00D13A5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1581150</wp:posOffset>
          </wp:positionH>
          <wp:positionV relativeFrom="paragraph">
            <wp:posOffset>12700</wp:posOffset>
          </wp:positionV>
          <wp:extent cx="800100" cy="685800"/>
          <wp:effectExtent l="0" t="0" r="0" b="0"/>
          <wp:wrapTopAndBottom distT="0" dist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00100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FE5FD8" w:rsidRDefault="00FE5F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  <w:p w:rsidR="00FE5FD8" w:rsidRDefault="00FE5F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  <w:p w:rsidR="00FE5FD8" w:rsidRDefault="00FE5F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  <w:p w:rsidR="00FE5FD8" w:rsidRDefault="00D13A53">
    <w:pPr>
      <w:pBdr>
        <w:top w:val="nil"/>
        <w:left w:val="nil"/>
        <w:bottom w:val="nil"/>
        <w:right w:val="nil"/>
        <w:between w:val="nil"/>
      </w:pBdr>
      <w:jc w:val="center"/>
      <w:rPr>
        <w:rFonts w:ascii="Garamond" w:eastAsia="Garamond" w:hAnsi="Garamond" w:cs="Garamond"/>
        <w:color w:val="000000"/>
        <w:sz w:val="22"/>
        <w:szCs w:val="22"/>
      </w:rPr>
    </w:pPr>
    <w:r>
      <w:rPr>
        <w:rFonts w:ascii="Garamond" w:eastAsia="Garamond" w:hAnsi="Garamond" w:cs="Garamond"/>
        <w:b/>
        <w:color w:val="000000"/>
        <w:sz w:val="22"/>
        <w:szCs w:val="22"/>
      </w:rPr>
      <w:t>MINISTÉRIO DA EDUCAÇÃO</w:t>
    </w:r>
  </w:p>
  <w:p w:rsidR="00FE5FD8" w:rsidRDefault="00D13A53">
    <w:pPr>
      <w:pBdr>
        <w:top w:val="nil"/>
        <w:left w:val="nil"/>
        <w:bottom w:val="nil"/>
        <w:right w:val="nil"/>
        <w:between w:val="nil"/>
      </w:pBdr>
      <w:jc w:val="center"/>
      <w:rPr>
        <w:rFonts w:ascii="Garamond" w:eastAsia="Garamond" w:hAnsi="Garamond" w:cs="Garamond"/>
        <w:b/>
        <w:color w:val="000000"/>
        <w:sz w:val="22"/>
        <w:szCs w:val="22"/>
      </w:rPr>
    </w:pPr>
    <w:r>
      <w:rPr>
        <w:rFonts w:ascii="Garamond" w:eastAsia="Garamond" w:hAnsi="Garamond" w:cs="Garamond"/>
        <w:b/>
        <w:color w:val="000000"/>
        <w:sz w:val="22"/>
        <w:szCs w:val="22"/>
      </w:rPr>
      <w:t xml:space="preserve">UNIVERSIDADE FEDERAL DO PIAUÍ – UFPI </w:t>
    </w:r>
  </w:p>
  <w:p w:rsidR="00FE5FD8" w:rsidRDefault="00D13A53">
    <w:pPr>
      <w:pBdr>
        <w:top w:val="nil"/>
        <w:left w:val="nil"/>
        <w:bottom w:val="nil"/>
        <w:right w:val="nil"/>
        <w:between w:val="nil"/>
      </w:pBdr>
      <w:jc w:val="center"/>
      <w:rPr>
        <w:rFonts w:ascii="Garamond" w:eastAsia="Garamond" w:hAnsi="Garamond" w:cs="Garamond"/>
        <w:b/>
        <w:color w:val="000000"/>
        <w:sz w:val="22"/>
        <w:szCs w:val="22"/>
      </w:rPr>
    </w:pPr>
    <w:r>
      <w:rPr>
        <w:rFonts w:ascii="Garamond" w:eastAsia="Garamond" w:hAnsi="Garamond" w:cs="Garamond"/>
        <w:b/>
        <w:color w:val="000000"/>
        <w:sz w:val="22"/>
        <w:szCs w:val="22"/>
      </w:rPr>
      <w:t xml:space="preserve">CAMPUS SENADOR HELVÍDIO NUNES DE BARROS – CSHNB </w:t>
    </w:r>
  </w:p>
  <w:p w:rsidR="00FE5FD8" w:rsidRDefault="00D13A53">
    <w:pPr>
      <w:pBdr>
        <w:top w:val="nil"/>
        <w:left w:val="nil"/>
        <w:bottom w:val="nil"/>
        <w:right w:val="nil"/>
        <w:between w:val="nil"/>
      </w:pBdr>
      <w:jc w:val="center"/>
      <w:rPr>
        <w:rFonts w:ascii="Garamond" w:eastAsia="Garamond" w:hAnsi="Garamond" w:cs="Garamond"/>
        <w:b/>
        <w:color w:val="000000"/>
        <w:sz w:val="28"/>
        <w:szCs w:val="28"/>
      </w:rPr>
    </w:pPr>
    <w:r>
      <w:rPr>
        <w:rFonts w:ascii="Garamond" w:eastAsia="Garamond" w:hAnsi="Garamond" w:cs="Garamond"/>
        <w:b/>
        <w:color w:val="000000"/>
        <w:sz w:val="28"/>
        <w:szCs w:val="28"/>
      </w:rPr>
      <w:t>CURSO DE BACHARELADO EM NUTRIÇÃO</w:t>
    </w:r>
  </w:p>
  <w:p w:rsidR="00FE5FD8" w:rsidRDefault="00FE5F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  <w:p w:rsidR="00FE5FD8" w:rsidRDefault="00FE5F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5055E"/>
    <w:multiLevelType w:val="multilevel"/>
    <w:tmpl w:val="1AF815AE"/>
    <w:lvl w:ilvl="0">
      <w:start w:val="1"/>
      <w:numFmt w:val="decimal"/>
      <w:lvlText w:val="%1."/>
      <w:lvlJc w:val="left"/>
      <w:pPr>
        <w:ind w:left="4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1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0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7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80" w:hanging="180"/>
      </w:pPr>
      <w:rPr>
        <w:vertAlign w:val="baseline"/>
      </w:rPr>
    </w:lvl>
  </w:abstractNum>
  <w:abstractNum w:abstractNumId="1">
    <w:nsid w:val="7BFF38F1"/>
    <w:multiLevelType w:val="hybridMultilevel"/>
    <w:tmpl w:val="61D2259E"/>
    <w:lvl w:ilvl="0" w:tplc="8000E934">
      <w:start w:val="1"/>
      <w:numFmt w:val="decimal"/>
      <w:lvlText w:val="%1."/>
      <w:lvlJc w:val="left"/>
      <w:pPr>
        <w:tabs>
          <w:tab w:val="num" w:pos="758"/>
        </w:tabs>
        <w:ind w:left="758" w:hanging="360"/>
      </w:pPr>
      <w:rPr>
        <w:rFonts w:ascii="Times New Roman" w:eastAsia="Times New Roman" w:hAnsi="Times New Roman" w:cs="Times New Roman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478"/>
        </w:tabs>
        <w:ind w:left="147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98"/>
        </w:tabs>
        <w:ind w:left="219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18"/>
        </w:tabs>
        <w:ind w:left="291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38"/>
        </w:tabs>
        <w:ind w:left="363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58"/>
        </w:tabs>
        <w:ind w:left="435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78"/>
        </w:tabs>
        <w:ind w:left="507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98"/>
        </w:tabs>
        <w:ind w:left="579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18"/>
        </w:tabs>
        <w:ind w:left="651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E5FD8"/>
    <w:rsid w:val="000256F3"/>
    <w:rsid w:val="00035787"/>
    <w:rsid w:val="00073FE2"/>
    <w:rsid w:val="001C757D"/>
    <w:rsid w:val="00495D89"/>
    <w:rsid w:val="004A16B4"/>
    <w:rsid w:val="005438AC"/>
    <w:rsid w:val="0054711D"/>
    <w:rsid w:val="005C423C"/>
    <w:rsid w:val="00607671"/>
    <w:rsid w:val="00663CE4"/>
    <w:rsid w:val="00697F6F"/>
    <w:rsid w:val="006F7527"/>
    <w:rsid w:val="00813743"/>
    <w:rsid w:val="00914D7E"/>
    <w:rsid w:val="00926C2B"/>
    <w:rsid w:val="009636E5"/>
    <w:rsid w:val="00AB69A3"/>
    <w:rsid w:val="00CA631E"/>
    <w:rsid w:val="00CB0A52"/>
    <w:rsid w:val="00D13A53"/>
    <w:rsid w:val="00EE310F"/>
    <w:rsid w:val="00FE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6F7527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914D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14D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6F7527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914D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14D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1257</Words>
  <Characters>6789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Maiara Rios</dc:creator>
  <cp:lastModifiedBy>Maiara Rios</cp:lastModifiedBy>
  <cp:revision>3</cp:revision>
  <dcterms:created xsi:type="dcterms:W3CDTF">2020-07-20T12:23:00Z</dcterms:created>
  <dcterms:modified xsi:type="dcterms:W3CDTF">2020-07-20T15:07:00Z</dcterms:modified>
</cp:coreProperties>
</file>